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D755A" w:rsidRDefault="007E2F4E">
      <w:pPr>
        <w:tabs>
          <w:tab w:val="center" w:pos="3742"/>
          <w:tab w:val="center" w:pos="6704"/>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582171</wp:posOffset>
                </wp:positionH>
                <wp:positionV relativeFrom="paragraph">
                  <wp:posOffset>-318994</wp:posOffset>
                </wp:positionV>
                <wp:extent cx="1531620" cy="1289304"/>
                <wp:effectExtent l="0" t="0" r="0" b="0"/>
                <wp:wrapSquare wrapText="bothSides"/>
                <wp:docPr id="1968" name="Group 1968"/>
                <wp:cNvGraphicFramePr/>
                <a:graphic xmlns:a="http://schemas.openxmlformats.org/drawingml/2006/main">
                  <a:graphicData uri="http://schemas.microsoft.com/office/word/2010/wordprocessingGroup">
                    <wpg:wgp>
                      <wpg:cNvGrpSpPr/>
                      <wpg:grpSpPr>
                        <a:xfrm>
                          <a:off x="0" y="0"/>
                          <a:ext cx="1531620" cy="1289304"/>
                          <a:chOff x="0" y="0"/>
                          <a:chExt cx="1531620" cy="1289304"/>
                        </a:xfrm>
                      </wpg:grpSpPr>
                      <pic:pic xmlns:pic="http://schemas.openxmlformats.org/drawingml/2006/picture">
                        <pic:nvPicPr>
                          <pic:cNvPr id="97" name="Picture 97"/>
                          <pic:cNvPicPr/>
                        </pic:nvPicPr>
                        <pic:blipFill>
                          <a:blip r:embed="rId5"/>
                          <a:stretch>
                            <a:fillRect/>
                          </a:stretch>
                        </pic:blipFill>
                        <pic:spPr>
                          <a:xfrm>
                            <a:off x="27432" y="0"/>
                            <a:ext cx="658368" cy="502920"/>
                          </a:xfrm>
                          <a:prstGeom prst="rect">
                            <a:avLst/>
                          </a:prstGeom>
                        </pic:spPr>
                      </pic:pic>
                      <pic:pic xmlns:pic="http://schemas.openxmlformats.org/drawingml/2006/picture">
                        <pic:nvPicPr>
                          <pic:cNvPr id="99" name="Picture 99"/>
                          <pic:cNvPicPr/>
                        </pic:nvPicPr>
                        <pic:blipFill>
                          <a:blip r:embed="rId6"/>
                          <a:stretch>
                            <a:fillRect/>
                          </a:stretch>
                        </pic:blipFill>
                        <pic:spPr>
                          <a:xfrm>
                            <a:off x="59436" y="489204"/>
                            <a:ext cx="589788" cy="160020"/>
                          </a:xfrm>
                          <a:prstGeom prst="rect">
                            <a:avLst/>
                          </a:prstGeom>
                        </pic:spPr>
                      </pic:pic>
                      <pic:pic xmlns:pic="http://schemas.openxmlformats.org/drawingml/2006/picture">
                        <pic:nvPicPr>
                          <pic:cNvPr id="101" name="Picture 101"/>
                          <pic:cNvPicPr/>
                        </pic:nvPicPr>
                        <pic:blipFill>
                          <a:blip r:embed="rId7"/>
                          <a:stretch>
                            <a:fillRect/>
                          </a:stretch>
                        </pic:blipFill>
                        <pic:spPr>
                          <a:xfrm>
                            <a:off x="0" y="635508"/>
                            <a:ext cx="1531620" cy="585216"/>
                          </a:xfrm>
                          <a:prstGeom prst="rect">
                            <a:avLst/>
                          </a:prstGeom>
                        </pic:spPr>
                      </pic:pic>
                      <pic:pic xmlns:pic="http://schemas.openxmlformats.org/drawingml/2006/picture">
                        <pic:nvPicPr>
                          <pic:cNvPr id="103" name="Picture 103"/>
                          <pic:cNvPicPr/>
                        </pic:nvPicPr>
                        <pic:blipFill>
                          <a:blip r:embed="rId8"/>
                          <a:stretch>
                            <a:fillRect/>
                          </a:stretch>
                        </pic:blipFill>
                        <pic:spPr>
                          <a:xfrm>
                            <a:off x="13716" y="1207008"/>
                            <a:ext cx="699516" cy="82296"/>
                          </a:xfrm>
                          <a:prstGeom prst="rect">
                            <a:avLst/>
                          </a:prstGeom>
                        </pic:spPr>
                      </pic:pic>
                    </wpg:wgp>
                  </a:graphicData>
                </a:graphic>
              </wp:anchor>
            </w:drawing>
          </mc:Choice>
          <mc:Fallback xmlns:cx="http://schemas.microsoft.com/office/drawing/2014/chartex" xmlns:cx1="http://schemas.microsoft.com/office/drawing/2015/9/8/chartex" xmlns:w16se="http://schemas.microsoft.com/office/word/2015/wordml/symex" xmlns:a="http://schemas.openxmlformats.org/drawingml/2006/main">
            <w:pict>
              <v:group id="Group 1968" style="width:120.6pt;height:101.52pt;position:absolute;mso-position-horizontal-relative:text;mso-position-horizontal:absolute;margin-left:45.8402pt;mso-position-vertical-relative:text;margin-top:-25.1177pt;" coordsize="15316,12893">
                <v:shape id="Picture 97" style="position:absolute;width:6583;height:5029;left:274;top:0;" filled="f">
                  <v:imagedata r:id="rId9"/>
                </v:shape>
                <v:shape id="Picture 99" style="position:absolute;width:5897;height:1600;left:594;top:4892;" filled="f">
                  <v:imagedata r:id="rId10"/>
                </v:shape>
                <v:shape id="Picture 101" style="position:absolute;width:15316;height:5852;left:0;top:6355;" filled="f">
                  <v:imagedata r:id="rId11"/>
                </v:shape>
                <v:shape id="Picture 103" style="position:absolute;width:6995;height:822;left:137;top:12070;" filled="f">
                  <v:imagedata r:id="rId12"/>
                </v:shape>
                <w10:wrap type="square"/>
              </v:group>
            </w:pict>
          </mc:Fallback>
        </mc:AlternateContent>
      </w: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sz w:val="26"/>
        </w:rPr>
        <w:t xml:space="preserve">NEW EMPLOYEE ORIENTATION POLICY </w:t>
      </w:r>
    </w:p>
    <w:p w:rsidR="000D755A" w:rsidRDefault="007E2F4E">
      <w:pPr>
        <w:spacing w:after="0" w:line="259" w:lineRule="auto"/>
        <w:ind w:left="917"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sz w:val="24"/>
        </w:rPr>
        <w:t xml:space="preserve"> </w:t>
      </w:r>
    </w:p>
    <w:p w:rsidR="000D755A" w:rsidRDefault="007E2F4E">
      <w:pPr>
        <w:tabs>
          <w:tab w:val="center" w:pos="3742"/>
          <w:tab w:val="center" w:pos="6704"/>
        </w:tabs>
        <w:spacing w:after="0" w:line="259" w:lineRule="auto"/>
        <w:ind w:left="0" w:firstLine="0"/>
        <w:jc w:val="left"/>
      </w:pPr>
      <w:r>
        <w:rPr>
          <w:rFonts w:ascii="Calibri" w:eastAsia="Calibri" w:hAnsi="Calibri" w:cs="Calibri"/>
        </w:rPr>
        <w:tab/>
      </w:r>
      <w:r>
        <w:rPr>
          <w:rFonts w:ascii="Times New Roman" w:eastAsia="Times New Roman" w:hAnsi="Times New Roman" w:cs="Times New Roman"/>
        </w:rPr>
        <w:t xml:space="preserve"> </w:t>
      </w:r>
      <w:r>
        <w:rPr>
          <w:rFonts w:ascii="Times New Roman" w:eastAsia="Times New Roman" w:hAnsi="Times New Roman" w:cs="Times New Roman"/>
        </w:rPr>
        <w:tab/>
      </w:r>
      <w:r>
        <w:rPr>
          <w:b/>
        </w:rPr>
        <w:t>Department of Human Resources</w:t>
      </w:r>
      <w:r>
        <w:t xml:space="preserve"> </w:t>
      </w:r>
    </w:p>
    <w:p w:rsidR="000D755A" w:rsidRDefault="007E2F4E">
      <w:pPr>
        <w:tabs>
          <w:tab w:val="center" w:pos="3742"/>
          <w:tab w:val="center" w:pos="6703"/>
        </w:tabs>
        <w:spacing w:after="0" w:line="259" w:lineRule="auto"/>
        <w:ind w:left="0" w:firstLine="0"/>
        <w:jc w:val="left"/>
      </w:pPr>
      <w:r>
        <w:rPr>
          <w:rFonts w:ascii="Calibri" w:eastAsia="Calibri" w:hAnsi="Calibri" w:cs="Calibri"/>
        </w:rPr>
        <w:tab/>
      </w:r>
      <w:r>
        <w:rPr>
          <w:rFonts w:ascii="Times New Roman" w:eastAsia="Times New Roman" w:hAnsi="Times New Roman" w:cs="Times New Roman"/>
        </w:rPr>
        <w:t xml:space="preserve"> </w:t>
      </w:r>
      <w:r>
        <w:rPr>
          <w:rFonts w:ascii="Times New Roman" w:eastAsia="Times New Roman" w:hAnsi="Times New Roman" w:cs="Times New Roman"/>
        </w:rPr>
        <w:tab/>
      </w:r>
      <w:r>
        <w:t xml:space="preserve">Effective: August 1, 2013 </w:t>
      </w:r>
    </w:p>
    <w:p w:rsidR="000D755A" w:rsidRDefault="007E2F4E">
      <w:pPr>
        <w:spacing w:after="0" w:line="259" w:lineRule="auto"/>
        <w:ind w:left="917" w:firstLine="0"/>
        <w:jc w:val="center"/>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rsidR="000D755A" w:rsidRDefault="007E2F4E">
      <w:pPr>
        <w:spacing w:after="0" w:line="259" w:lineRule="auto"/>
        <w:ind w:left="917" w:firstLine="0"/>
        <w:jc w:val="left"/>
      </w:pPr>
      <w:r>
        <w:rPr>
          <w:rFonts w:ascii="Times New Roman" w:eastAsia="Times New Roman" w:hAnsi="Times New Roman" w:cs="Times New Roman"/>
        </w:rPr>
        <w:t xml:space="preserve"> </w:t>
      </w:r>
    </w:p>
    <w:p w:rsidR="000D755A" w:rsidRDefault="007E2F4E">
      <w:pPr>
        <w:spacing w:after="0" w:line="259" w:lineRule="auto"/>
        <w:ind w:left="3742" w:firstLine="0"/>
        <w:jc w:val="left"/>
      </w:pPr>
      <w:r>
        <w:rPr>
          <w:rFonts w:ascii="Times New Roman" w:eastAsia="Times New Roman" w:hAnsi="Times New Roman" w:cs="Times New Roman"/>
        </w:rPr>
        <w:t xml:space="preserve"> </w:t>
      </w:r>
    </w:p>
    <w:p w:rsidR="000D755A" w:rsidRDefault="007E2F4E">
      <w:pPr>
        <w:spacing w:after="0" w:line="259" w:lineRule="auto"/>
        <w:ind w:left="3742" w:firstLine="0"/>
        <w:jc w:val="left"/>
      </w:pPr>
      <w:r>
        <w:rPr>
          <w:b/>
        </w:rPr>
        <w:t xml:space="preserve"> </w:t>
      </w:r>
    </w:p>
    <w:p w:rsidR="000D755A" w:rsidRDefault="007E2F4E">
      <w:pPr>
        <w:pStyle w:val="Heading1"/>
        <w:ind w:left="451"/>
      </w:pPr>
      <w:r>
        <w:t>SCOPE</w:t>
      </w:r>
      <w:r>
        <w:rPr>
          <w:u w:val="none"/>
        </w:rPr>
        <w:t xml:space="preserve"> </w:t>
      </w:r>
    </w:p>
    <w:p w:rsidR="000D755A" w:rsidRDefault="007E2F4E">
      <w:pPr>
        <w:spacing w:after="0" w:line="259" w:lineRule="auto"/>
        <w:ind w:left="456" w:firstLine="0"/>
        <w:jc w:val="left"/>
      </w:pPr>
      <w:r>
        <w:rPr>
          <w:b/>
        </w:rPr>
        <w:t xml:space="preserve"> </w:t>
      </w:r>
    </w:p>
    <w:p w:rsidR="000D755A" w:rsidRDefault="007E2F4E">
      <w:pPr>
        <w:ind w:left="466"/>
      </w:pPr>
      <w:r>
        <w:t xml:space="preserve">This policy applies to all employees at the university. Specifically, this policy includes any person who is employed by the university on a part-time or full-time basis, including but not limited to all faculty, unclassified staff, classified staff, and casual wage (WAE) employees. </w:t>
      </w:r>
    </w:p>
    <w:p w:rsidR="000D755A" w:rsidRDefault="007E2F4E">
      <w:pPr>
        <w:spacing w:after="0" w:line="259" w:lineRule="auto"/>
        <w:ind w:left="456" w:firstLine="0"/>
        <w:jc w:val="left"/>
      </w:pPr>
      <w:r>
        <w:rPr>
          <w:b/>
        </w:rPr>
        <w:t xml:space="preserve"> </w:t>
      </w:r>
    </w:p>
    <w:p w:rsidR="000D755A" w:rsidRDefault="007E2F4E">
      <w:pPr>
        <w:spacing w:after="0" w:line="259" w:lineRule="auto"/>
        <w:ind w:left="456" w:firstLine="0"/>
        <w:jc w:val="left"/>
      </w:pPr>
      <w:r>
        <w:rPr>
          <w:b/>
        </w:rPr>
        <w:t xml:space="preserve"> </w:t>
      </w:r>
    </w:p>
    <w:p w:rsidR="000D755A" w:rsidRDefault="007E2F4E">
      <w:pPr>
        <w:pStyle w:val="Heading1"/>
        <w:ind w:left="451"/>
      </w:pPr>
      <w:r>
        <w:t>PURPOSE</w:t>
      </w:r>
      <w:r>
        <w:rPr>
          <w:u w:val="none"/>
        </w:rPr>
        <w:t xml:space="preserve"> </w:t>
      </w:r>
    </w:p>
    <w:p w:rsidR="000D755A" w:rsidRDefault="007E2F4E">
      <w:pPr>
        <w:spacing w:after="0" w:line="259" w:lineRule="auto"/>
        <w:ind w:left="456" w:firstLine="0"/>
        <w:jc w:val="left"/>
      </w:pPr>
      <w:r>
        <w:rPr>
          <w:b/>
        </w:rPr>
        <w:t xml:space="preserve"> </w:t>
      </w:r>
    </w:p>
    <w:p w:rsidR="000D755A" w:rsidRDefault="007E2F4E">
      <w:pPr>
        <w:ind w:left="466"/>
      </w:pPr>
      <w:r>
        <w:t>The purpose of this policy is to ensure that all employees complete mandated training and receive information regarding all applicable programs.</w:t>
      </w:r>
      <w:r>
        <w:rPr>
          <w:b/>
        </w:rPr>
        <w:t xml:space="preserve"> </w:t>
      </w:r>
    </w:p>
    <w:p w:rsidR="000D755A" w:rsidRDefault="007E2F4E">
      <w:pPr>
        <w:spacing w:after="0" w:line="259" w:lineRule="auto"/>
        <w:ind w:left="456" w:firstLine="0"/>
        <w:jc w:val="left"/>
      </w:pPr>
      <w:r>
        <w:rPr>
          <w:b/>
        </w:rPr>
        <w:t xml:space="preserve"> </w:t>
      </w:r>
    </w:p>
    <w:p w:rsidR="000D755A" w:rsidRDefault="007E2F4E">
      <w:pPr>
        <w:spacing w:after="0" w:line="259" w:lineRule="auto"/>
        <w:ind w:left="456" w:firstLine="0"/>
        <w:jc w:val="left"/>
      </w:pPr>
      <w:r>
        <w:rPr>
          <w:b/>
        </w:rPr>
        <w:t xml:space="preserve"> </w:t>
      </w:r>
    </w:p>
    <w:p w:rsidR="000D755A" w:rsidRDefault="007E2F4E">
      <w:pPr>
        <w:pStyle w:val="Heading1"/>
        <w:ind w:left="451"/>
      </w:pPr>
      <w:r>
        <w:t>POLICY</w:t>
      </w:r>
      <w:r>
        <w:rPr>
          <w:b w:val="0"/>
          <w:u w:val="none"/>
        </w:rPr>
        <w:t xml:space="preserve"> </w:t>
      </w:r>
    </w:p>
    <w:p w:rsidR="000D755A" w:rsidRDefault="007E2F4E">
      <w:pPr>
        <w:spacing w:after="0" w:line="259" w:lineRule="auto"/>
        <w:ind w:left="456" w:firstLine="0"/>
        <w:jc w:val="left"/>
      </w:pPr>
      <w:r>
        <w:t xml:space="preserve"> </w:t>
      </w:r>
    </w:p>
    <w:p w:rsidR="000D755A" w:rsidRDefault="007E2F4E">
      <w:pPr>
        <w:ind w:left="466"/>
      </w:pPr>
      <w:r>
        <w:t xml:space="preserve">The university is required to provide new employee orientation training to all new employees within ninety (90) days of the employee’s hire date. The new employee orientation sessions will provide training on various university and occupational safety policies. The Department of Human Resources shall conduct a new employee orientation training class at least once every </w:t>
      </w:r>
      <w:r w:rsidR="00426A38">
        <w:t>thirty</w:t>
      </w:r>
      <w:r>
        <w:t xml:space="preserve"> days.   </w:t>
      </w:r>
    </w:p>
    <w:p w:rsidR="000D755A" w:rsidRDefault="007E2F4E">
      <w:pPr>
        <w:spacing w:after="0" w:line="259" w:lineRule="auto"/>
        <w:ind w:left="456" w:firstLine="0"/>
        <w:jc w:val="left"/>
      </w:pPr>
      <w:r>
        <w:t xml:space="preserve"> </w:t>
      </w:r>
    </w:p>
    <w:p w:rsidR="000D755A" w:rsidRDefault="007E2F4E">
      <w:pPr>
        <w:ind w:left="466"/>
      </w:pPr>
      <w:r>
        <w:t xml:space="preserve">The Department of Human Resources shall notify the new employee upon hire of this policy, and will assist the new employee in scheduling and enrolling in the new employee orientation class. The Department of Human Resources shall also notify the new employee’s supervisor of this requirement and will provide the supervisor with schedules of upcoming new employee orientation classes.   </w:t>
      </w:r>
    </w:p>
    <w:p w:rsidR="000D755A" w:rsidRDefault="007E2F4E">
      <w:pPr>
        <w:spacing w:after="0" w:line="259" w:lineRule="auto"/>
        <w:ind w:left="456" w:firstLine="0"/>
        <w:jc w:val="left"/>
      </w:pPr>
      <w:r>
        <w:t xml:space="preserve"> </w:t>
      </w:r>
    </w:p>
    <w:p w:rsidR="000D755A" w:rsidRDefault="007E2F4E">
      <w:pPr>
        <w:ind w:left="466"/>
      </w:pPr>
      <w:r>
        <w:t xml:space="preserve">Supervisors / Division Heads are responsible for ensuring that all new employees attend the new employee orientation class. Failure to attend the new employee orientation class within ninety (90) days of the employee’s hire date may result in disciplinary action up to and including termination.   </w:t>
      </w:r>
    </w:p>
    <w:p w:rsidR="000D755A" w:rsidRDefault="007E2F4E">
      <w:pPr>
        <w:spacing w:after="0" w:line="259" w:lineRule="auto"/>
        <w:ind w:left="456" w:firstLine="0"/>
        <w:jc w:val="left"/>
      </w:pPr>
      <w:r>
        <w:t xml:space="preserve"> </w:t>
      </w:r>
    </w:p>
    <w:p w:rsidR="000D755A" w:rsidRDefault="007E2F4E">
      <w:pPr>
        <w:ind w:left="466"/>
      </w:pPr>
      <w:r>
        <w:t xml:space="preserve">At a minimum, new employee orientation shall include detailed training on the following topics: </w:t>
      </w:r>
    </w:p>
    <w:p w:rsidR="000D755A" w:rsidRDefault="007E2F4E">
      <w:pPr>
        <w:spacing w:after="0" w:line="259" w:lineRule="auto"/>
        <w:ind w:left="456" w:firstLine="0"/>
        <w:jc w:val="left"/>
      </w:pPr>
      <w:r>
        <w:t xml:space="preserve"> </w:t>
      </w:r>
    </w:p>
    <w:p w:rsidR="000D755A" w:rsidRDefault="007E2F4E">
      <w:pPr>
        <w:numPr>
          <w:ilvl w:val="0"/>
          <w:numId w:val="1"/>
        </w:numPr>
        <w:ind w:hanging="360"/>
      </w:pPr>
      <w:r>
        <w:t xml:space="preserve">Anti-Discrimination and Harassment Policy </w:t>
      </w:r>
    </w:p>
    <w:p w:rsidR="000D755A" w:rsidRDefault="007E2F4E">
      <w:pPr>
        <w:numPr>
          <w:ilvl w:val="0"/>
          <w:numId w:val="1"/>
        </w:numPr>
        <w:ind w:hanging="360"/>
      </w:pPr>
      <w:r>
        <w:t xml:space="preserve">Drug Free Workplace Policy  </w:t>
      </w:r>
    </w:p>
    <w:p w:rsidR="000D755A" w:rsidRDefault="007E2F4E">
      <w:pPr>
        <w:numPr>
          <w:ilvl w:val="0"/>
          <w:numId w:val="1"/>
        </w:numPr>
        <w:ind w:hanging="360"/>
      </w:pPr>
      <w:r>
        <w:t xml:space="preserve">Violence in the Workplace Policy  </w:t>
      </w:r>
    </w:p>
    <w:p w:rsidR="000D755A" w:rsidRDefault="007E2F4E">
      <w:pPr>
        <w:numPr>
          <w:ilvl w:val="0"/>
          <w:numId w:val="1"/>
        </w:numPr>
        <w:ind w:hanging="360"/>
      </w:pPr>
      <w:r>
        <w:t xml:space="preserve">Americans with Disabilities Act  </w:t>
      </w:r>
    </w:p>
    <w:p w:rsidR="000D755A" w:rsidRDefault="007E2F4E">
      <w:pPr>
        <w:numPr>
          <w:ilvl w:val="0"/>
          <w:numId w:val="1"/>
        </w:numPr>
        <w:ind w:hanging="360"/>
      </w:pPr>
      <w:r>
        <w:t xml:space="preserve">Leave Policies and Family Medical Leave Act (FMLA) </w:t>
      </w:r>
    </w:p>
    <w:p w:rsidR="006D487B" w:rsidRDefault="006D487B" w:rsidP="006D487B">
      <w:pPr>
        <w:ind w:left="1161" w:firstLine="0"/>
      </w:pPr>
    </w:p>
    <w:p w:rsidR="006D487B" w:rsidRDefault="006D487B" w:rsidP="006D487B">
      <w:pPr>
        <w:ind w:left="1161" w:firstLine="0"/>
      </w:pPr>
    </w:p>
    <w:p w:rsidR="006D487B" w:rsidRDefault="006D487B" w:rsidP="006D487B">
      <w:pPr>
        <w:ind w:left="1161" w:firstLine="0"/>
      </w:pPr>
    </w:p>
    <w:p w:rsidR="006D487B" w:rsidRDefault="006D487B" w:rsidP="006D487B">
      <w:pPr>
        <w:spacing w:after="0" w:line="259" w:lineRule="auto"/>
        <w:ind w:left="451"/>
        <w:jc w:val="left"/>
      </w:pPr>
      <w:r>
        <w:rPr>
          <w:rFonts w:ascii="Calibri" w:eastAsia="Calibri" w:hAnsi="Calibri" w:cs="Calibri"/>
          <w:color w:val="7E7E7E"/>
          <w:sz w:val="18"/>
        </w:rPr>
        <w:t>New Employee Orientation Policy                                                                                                                                          Page 1 of 2</w:t>
      </w:r>
      <w:r>
        <w:rPr>
          <w:rFonts w:ascii="Times New Roman" w:eastAsia="Times New Roman" w:hAnsi="Times New Roman" w:cs="Times New Roman"/>
          <w:sz w:val="24"/>
        </w:rPr>
        <w:t xml:space="preserve"> </w:t>
      </w:r>
    </w:p>
    <w:p w:rsidR="000D755A" w:rsidRDefault="007E2F4E">
      <w:pPr>
        <w:numPr>
          <w:ilvl w:val="0"/>
          <w:numId w:val="1"/>
        </w:numPr>
        <w:ind w:hanging="360"/>
      </w:pPr>
      <w:r>
        <w:lastRenderedPageBreak/>
        <w:t xml:space="preserve">Family Educational Rights and Privacy Act (FERPA) </w:t>
      </w:r>
    </w:p>
    <w:p w:rsidR="000D755A" w:rsidRDefault="007E2F4E">
      <w:pPr>
        <w:numPr>
          <w:ilvl w:val="0"/>
          <w:numId w:val="1"/>
        </w:numPr>
        <w:ind w:hanging="360"/>
      </w:pPr>
      <w:r>
        <w:t xml:space="preserve">University Employee Responsibilities  </w:t>
      </w:r>
    </w:p>
    <w:p w:rsidR="006D487B" w:rsidRDefault="007E2F4E" w:rsidP="006D487B">
      <w:pPr>
        <w:numPr>
          <w:ilvl w:val="0"/>
          <w:numId w:val="1"/>
        </w:numPr>
        <w:ind w:hanging="360"/>
      </w:pPr>
      <w:r>
        <w:t xml:space="preserve">President’s Safety Policy Statement </w:t>
      </w:r>
    </w:p>
    <w:p w:rsidR="000D755A" w:rsidRDefault="007E2F4E" w:rsidP="006D487B">
      <w:pPr>
        <w:numPr>
          <w:ilvl w:val="0"/>
          <w:numId w:val="1"/>
        </w:numPr>
        <w:ind w:hanging="360"/>
      </w:pPr>
      <w:r>
        <w:t>Lo</w:t>
      </w:r>
      <w:r w:rsidR="006D487B">
        <w:t>c</w:t>
      </w:r>
      <w:r>
        <w:t xml:space="preserve">ation, Content, and Use of the University Safety Manual and Safety Website   </w:t>
      </w:r>
    </w:p>
    <w:p w:rsidR="000D755A" w:rsidRDefault="007E2F4E">
      <w:pPr>
        <w:numPr>
          <w:ilvl w:val="0"/>
          <w:numId w:val="1"/>
        </w:numPr>
        <w:ind w:hanging="360"/>
      </w:pPr>
      <w:r>
        <w:t xml:space="preserve">University General Safety Rules  </w:t>
      </w:r>
    </w:p>
    <w:p w:rsidR="000D755A" w:rsidRDefault="007E2F4E">
      <w:pPr>
        <w:numPr>
          <w:ilvl w:val="0"/>
          <w:numId w:val="1"/>
        </w:numPr>
        <w:ind w:hanging="360"/>
      </w:pPr>
      <w:r>
        <w:t xml:space="preserve">Travel Policies and Procedures </w:t>
      </w:r>
    </w:p>
    <w:p w:rsidR="000D755A" w:rsidRDefault="007E2F4E">
      <w:pPr>
        <w:numPr>
          <w:ilvl w:val="0"/>
          <w:numId w:val="1"/>
        </w:numPr>
        <w:ind w:hanging="360"/>
      </w:pPr>
      <w:r>
        <w:t xml:space="preserve">Introduction / Overview of the Driver Safety Program </w:t>
      </w:r>
    </w:p>
    <w:p w:rsidR="000D755A" w:rsidRDefault="007E2F4E">
      <w:pPr>
        <w:numPr>
          <w:ilvl w:val="0"/>
          <w:numId w:val="1"/>
        </w:numPr>
        <w:ind w:hanging="360"/>
      </w:pPr>
      <w:r>
        <w:t xml:space="preserve">Emergency Evacuation Policies and Procedures  </w:t>
      </w:r>
    </w:p>
    <w:p w:rsidR="000D755A" w:rsidRDefault="007E2F4E">
      <w:pPr>
        <w:numPr>
          <w:ilvl w:val="0"/>
          <w:numId w:val="1"/>
        </w:numPr>
        <w:ind w:hanging="360"/>
      </w:pPr>
      <w:r>
        <w:t xml:space="preserve">First Call Emergency Alert System  </w:t>
      </w:r>
    </w:p>
    <w:p w:rsidR="000D755A" w:rsidRDefault="007E2F4E">
      <w:pPr>
        <w:numPr>
          <w:ilvl w:val="0"/>
          <w:numId w:val="1"/>
        </w:numPr>
        <w:ind w:hanging="360"/>
      </w:pPr>
      <w:r>
        <w:t xml:space="preserve">Hazard Communication Program  </w:t>
      </w:r>
    </w:p>
    <w:p w:rsidR="000D755A" w:rsidRDefault="007E2F4E">
      <w:pPr>
        <w:numPr>
          <w:ilvl w:val="0"/>
          <w:numId w:val="1"/>
        </w:numPr>
        <w:ind w:hanging="360"/>
      </w:pPr>
      <w:r>
        <w:t xml:space="preserve">Chemical Hygiene Policy  </w:t>
      </w:r>
    </w:p>
    <w:p w:rsidR="000D755A" w:rsidRDefault="007E2F4E">
      <w:pPr>
        <w:numPr>
          <w:ilvl w:val="0"/>
          <w:numId w:val="1"/>
        </w:numPr>
        <w:ind w:hanging="360"/>
      </w:pPr>
      <w:r>
        <w:t xml:space="preserve">Reporting an Incident / Accident and completing appropriate forms properly </w:t>
      </w:r>
    </w:p>
    <w:p w:rsidR="000D755A" w:rsidRDefault="007E2F4E">
      <w:pPr>
        <w:numPr>
          <w:ilvl w:val="0"/>
          <w:numId w:val="1"/>
        </w:numPr>
        <w:ind w:hanging="360"/>
      </w:pPr>
      <w:r>
        <w:t xml:space="preserve">Introduction, Awareness and Training on </w:t>
      </w:r>
      <w:proofErr w:type="spellStart"/>
      <w:r>
        <w:t>Bloodborne</w:t>
      </w:r>
      <w:proofErr w:type="spellEnd"/>
      <w:r>
        <w:t xml:space="preserve"> Pathogens </w:t>
      </w:r>
    </w:p>
    <w:p w:rsidR="000D755A" w:rsidRDefault="007E2F4E">
      <w:pPr>
        <w:numPr>
          <w:ilvl w:val="0"/>
          <w:numId w:val="1"/>
        </w:numPr>
        <w:ind w:hanging="360"/>
      </w:pPr>
      <w:r>
        <w:t xml:space="preserve">University Key and Access Control Policies and Procedures  </w:t>
      </w:r>
    </w:p>
    <w:p w:rsidR="000D755A" w:rsidRDefault="007E2F4E">
      <w:pPr>
        <w:numPr>
          <w:ilvl w:val="0"/>
          <w:numId w:val="1"/>
        </w:numPr>
        <w:ind w:hanging="360"/>
      </w:pPr>
      <w:r>
        <w:t xml:space="preserve">Property Control Policies and Procedures </w:t>
      </w:r>
    </w:p>
    <w:p w:rsidR="000D755A" w:rsidRDefault="007E2F4E">
      <w:pPr>
        <w:numPr>
          <w:ilvl w:val="0"/>
          <w:numId w:val="1"/>
        </w:numPr>
        <w:ind w:hanging="360"/>
      </w:pPr>
      <w:r>
        <w:t>Lockout/</w:t>
      </w:r>
      <w:proofErr w:type="spellStart"/>
      <w:r>
        <w:t>Tagout</w:t>
      </w:r>
      <w:proofErr w:type="spellEnd"/>
      <w:r>
        <w:t xml:space="preserve"> Policy  </w:t>
      </w:r>
    </w:p>
    <w:p w:rsidR="000D755A" w:rsidRDefault="007E2F4E">
      <w:pPr>
        <w:numPr>
          <w:ilvl w:val="0"/>
          <w:numId w:val="1"/>
        </w:numPr>
        <w:ind w:hanging="360"/>
      </w:pPr>
      <w:r>
        <w:t xml:space="preserve">Tobacco Use Policy </w:t>
      </w:r>
    </w:p>
    <w:p w:rsidR="000D755A" w:rsidRDefault="007E2F4E">
      <w:pPr>
        <w:numPr>
          <w:ilvl w:val="0"/>
          <w:numId w:val="1"/>
        </w:numPr>
        <w:ind w:hanging="360"/>
      </w:pPr>
      <w:r>
        <w:t xml:space="preserve">Social Media Policy </w:t>
      </w:r>
    </w:p>
    <w:p w:rsidR="000D755A" w:rsidRDefault="007E2F4E">
      <w:pPr>
        <w:numPr>
          <w:ilvl w:val="0"/>
          <w:numId w:val="1"/>
        </w:numPr>
        <w:ind w:hanging="360"/>
      </w:pPr>
      <w:r>
        <w:t xml:space="preserve">Ethics </w:t>
      </w:r>
    </w:p>
    <w:p w:rsidR="000D755A" w:rsidRDefault="007E2F4E">
      <w:pPr>
        <w:spacing w:after="0" w:line="259" w:lineRule="auto"/>
        <w:ind w:left="456" w:firstLine="0"/>
        <w:jc w:val="left"/>
      </w:pPr>
      <w:r>
        <w:t xml:space="preserve"> </w:t>
      </w:r>
    </w:p>
    <w:p w:rsidR="000D755A" w:rsidRDefault="007E2F4E">
      <w:pPr>
        <w:ind w:left="466"/>
      </w:pPr>
      <w:r>
        <w:t xml:space="preserve">Employees hired as casual wage (WAE), part-time, temporary, online or dual enrollment instructors </w:t>
      </w:r>
      <w:r w:rsidR="00CB16B0">
        <w:t>wi</w:t>
      </w:r>
      <w:r>
        <w:t xml:space="preserve">ll be required to review university and occupational safety policies online and sign acknowledgement for compliance. </w:t>
      </w:r>
    </w:p>
    <w:p w:rsidR="000D755A" w:rsidRDefault="007E2F4E">
      <w:pPr>
        <w:spacing w:after="0" w:line="259" w:lineRule="auto"/>
        <w:ind w:left="456" w:firstLine="0"/>
        <w:jc w:val="left"/>
      </w:pPr>
      <w:r>
        <w:t xml:space="preserve"> </w:t>
      </w:r>
    </w:p>
    <w:p w:rsidR="000D755A" w:rsidRDefault="007E2F4E">
      <w:pPr>
        <w:ind w:left="466"/>
      </w:pPr>
      <w:r>
        <w:t xml:space="preserve">Employees hired into certain occupations with a high risk of exposure to </w:t>
      </w:r>
      <w:proofErr w:type="spellStart"/>
      <w:r>
        <w:t>bloodborne</w:t>
      </w:r>
      <w:proofErr w:type="spellEnd"/>
      <w:r>
        <w:t xml:space="preserve"> pathogens shall be required to complete a detailed </w:t>
      </w:r>
      <w:proofErr w:type="spellStart"/>
      <w:r>
        <w:t>bloodborne</w:t>
      </w:r>
      <w:proofErr w:type="spellEnd"/>
      <w:r>
        <w:t xml:space="preserve"> pathogens training session within ninety (90) days of their hire date. Departments required to complete detailed </w:t>
      </w:r>
      <w:proofErr w:type="spellStart"/>
      <w:r>
        <w:t>bloodborne</w:t>
      </w:r>
      <w:proofErr w:type="spellEnd"/>
      <w:r>
        <w:t xml:space="preserve"> pathogens training for employees with a high risk of exposure are as follows: </w:t>
      </w:r>
    </w:p>
    <w:p w:rsidR="000D755A" w:rsidRDefault="007E2F4E">
      <w:pPr>
        <w:spacing w:after="0" w:line="259" w:lineRule="auto"/>
        <w:ind w:left="456" w:firstLine="0"/>
        <w:jc w:val="left"/>
      </w:pPr>
      <w:r>
        <w:t xml:space="preserve"> </w:t>
      </w:r>
    </w:p>
    <w:tbl>
      <w:tblPr>
        <w:tblStyle w:val="TableGrid"/>
        <w:tblW w:w="8250" w:type="dxa"/>
        <w:tblInd w:w="1284" w:type="dxa"/>
        <w:tblLook w:val="04A0" w:firstRow="1" w:lastRow="0" w:firstColumn="1" w:lastColumn="0" w:noHBand="0" w:noVBand="1"/>
      </w:tblPr>
      <w:tblGrid>
        <w:gridCol w:w="3869"/>
        <w:gridCol w:w="4381"/>
      </w:tblGrid>
      <w:tr w:rsidR="000D755A">
        <w:trPr>
          <w:trHeight w:val="249"/>
        </w:trPr>
        <w:tc>
          <w:tcPr>
            <w:tcW w:w="3869" w:type="dxa"/>
            <w:tcBorders>
              <w:top w:val="nil"/>
              <w:left w:val="nil"/>
              <w:bottom w:val="nil"/>
              <w:right w:val="nil"/>
            </w:tcBorders>
          </w:tcPr>
          <w:p w:rsidR="000D755A" w:rsidRDefault="007E2F4E">
            <w:pPr>
              <w:spacing w:after="0" w:line="259" w:lineRule="auto"/>
              <w:ind w:left="0" w:firstLine="0"/>
              <w:jc w:val="left"/>
            </w:pPr>
            <w:r>
              <w:t xml:space="preserve">Athletic Trainers and Coaches </w:t>
            </w:r>
          </w:p>
        </w:tc>
        <w:tc>
          <w:tcPr>
            <w:tcW w:w="4381" w:type="dxa"/>
            <w:tcBorders>
              <w:top w:val="nil"/>
              <w:left w:val="nil"/>
              <w:bottom w:val="nil"/>
              <w:right w:val="nil"/>
            </w:tcBorders>
          </w:tcPr>
          <w:p w:rsidR="000D755A" w:rsidRDefault="007E2F4E">
            <w:pPr>
              <w:spacing w:after="0" w:line="259" w:lineRule="auto"/>
              <w:ind w:left="1" w:firstLine="0"/>
              <w:jc w:val="left"/>
            </w:pPr>
            <w:r>
              <w:t xml:space="preserve">Student Health Center  </w:t>
            </w:r>
          </w:p>
        </w:tc>
      </w:tr>
      <w:tr w:rsidR="000D755A">
        <w:trPr>
          <w:trHeight w:val="253"/>
        </w:trPr>
        <w:tc>
          <w:tcPr>
            <w:tcW w:w="3869" w:type="dxa"/>
            <w:tcBorders>
              <w:top w:val="nil"/>
              <w:left w:val="nil"/>
              <w:bottom w:val="nil"/>
              <w:right w:val="nil"/>
            </w:tcBorders>
          </w:tcPr>
          <w:p w:rsidR="000D755A" w:rsidRDefault="007E2F4E">
            <w:pPr>
              <w:spacing w:after="0" w:line="259" w:lineRule="auto"/>
              <w:ind w:left="0" w:firstLine="0"/>
              <w:jc w:val="left"/>
            </w:pPr>
            <w:r>
              <w:t xml:space="preserve">Custodial Employees  </w:t>
            </w:r>
          </w:p>
        </w:tc>
        <w:tc>
          <w:tcPr>
            <w:tcW w:w="4381" w:type="dxa"/>
            <w:tcBorders>
              <w:top w:val="nil"/>
              <w:left w:val="nil"/>
              <w:bottom w:val="nil"/>
              <w:right w:val="nil"/>
            </w:tcBorders>
          </w:tcPr>
          <w:p w:rsidR="000D755A" w:rsidRDefault="007E2F4E">
            <w:pPr>
              <w:spacing w:after="0" w:line="259" w:lineRule="auto"/>
              <w:ind w:left="0" w:firstLine="0"/>
              <w:jc w:val="left"/>
            </w:pPr>
            <w:r>
              <w:t xml:space="preserve">Maintenance Employees  </w:t>
            </w:r>
          </w:p>
        </w:tc>
      </w:tr>
      <w:tr w:rsidR="000D755A">
        <w:trPr>
          <w:trHeight w:val="253"/>
        </w:trPr>
        <w:tc>
          <w:tcPr>
            <w:tcW w:w="3869" w:type="dxa"/>
            <w:tcBorders>
              <w:top w:val="nil"/>
              <w:left w:val="nil"/>
              <w:bottom w:val="nil"/>
              <w:right w:val="nil"/>
            </w:tcBorders>
          </w:tcPr>
          <w:p w:rsidR="000D755A" w:rsidRDefault="007E2F4E">
            <w:pPr>
              <w:spacing w:after="0" w:line="259" w:lineRule="auto"/>
              <w:ind w:left="0" w:firstLine="0"/>
              <w:jc w:val="left"/>
            </w:pPr>
            <w:r>
              <w:t xml:space="preserve">University Police  </w:t>
            </w:r>
          </w:p>
        </w:tc>
        <w:tc>
          <w:tcPr>
            <w:tcW w:w="4381" w:type="dxa"/>
            <w:tcBorders>
              <w:top w:val="nil"/>
              <w:left w:val="nil"/>
              <w:bottom w:val="nil"/>
              <w:right w:val="nil"/>
            </w:tcBorders>
          </w:tcPr>
          <w:p w:rsidR="000D755A" w:rsidRDefault="007E2F4E">
            <w:pPr>
              <w:tabs>
                <w:tab w:val="center" w:pos="3600"/>
                <w:tab w:val="center" w:pos="4320"/>
              </w:tabs>
              <w:spacing w:after="0" w:line="259" w:lineRule="auto"/>
              <w:ind w:left="0" w:firstLine="0"/>
              <w:jc w:val="left"/>
            </w:pPr>
            <w:r>
              <w:t xml:space="preserve">Speech Language Pathology  </w:t>
            </w:r>
            <w:r>
              <w:tab/>
              <w:t xml:space="preserve"> </w:t>
            </w:r>
            <w:r>
              <w:tab/>
              <w:t xml:space="preserve"> </w:t>
            </w:r>
          </w:p>
        </w:tc>
      </w:tr>
      <w:tr w:rsidR="000D755A">
        <w:trPr>
          <w:trHeight w:val="253"/>
        </w:trPr>
        <w:tc>
          <w:tcPr>
            <w:tcW w:w="3869" w:type="dxa"/>
            <w:tcBorders>
              <w:top w:val="nil"/>
              <w:left w:val="nil"/>
              <w:bottom w:val="nil"/>
              <w:right w:val="nil"/>
            </w:tcBorders>
          </w:tcPr>
          <w:p w:rsidR="000D755A" w:rsidRDefault="007E2F4E">
            <w:pPr>
              <w:spacing w:after="0" w:line="259" w:lineRule="auto"/>
              <w:ind w:left="0" w:firstLine="0"/>
              <w:jc w:val="left"/>
            </w:pPr>
            <w:r>
              <w:t xml:space="preserve">Radiologic Technology  </w:t>
            </w:r>
          </w:p>
        </w:tc>
        <w:tc>
          <w:tcPr>
            <w:tcW w:w="4381" w:type="dxa"/>
            <w:tcBorders>
              <w:top w:val="nil"/>
              <w:left w:val="nil"/>
              <w:bottom w:val="nil"/>
              <w:right w:val="nil"/>
            </w:tcBorders>
          </w:tcPr>
          <w:p w:rsidR="000D755A" w:rsidRDefault="007E2F4E">
            <w:pPr>
              <w:spacing w:after="0" w:line="259" w:lineRule="auto"/>
              <w:ind w:left="0" w:firstLine="0"/>
              <w:jc w:val="left"/>
            </w:pPr>
            <w:r>
              <w:t xml:space="preserve">Dental Hygiene  </w:t>
            </w:r>
          </w:p>
        </w:tc>
      </w:tr>
      <w:tr w:rsidR="000D755A">
        <w:trPr>
          <w:trHeight w:val="253"/>
        </w:trPr>
        <w:tc>
          <w:tcPr>
            <w:tcW w:w="3869" w:type="dxa"/>
            <w:tcBorders>
              <w:top w:val="nil"/>
              <w:left w:val="nil"/>
              <w:bottom w:val="nil"/>
              <w:right w:val="nil"/>
            </w:tcBorders>
          </w:tcPr>
          <w:p w:rsidR="000D755A" w:rsidRDefault="007E2F4E">
            <w:pPr>
              <w:spacing w:after="0" w:line="259" w:lineRule="auto"/>
              <w:ind w:left="0" w:firstLine="0"/>
              <w:jc w:val="left"/>
            </w:pPr>
            <w:r>
              <w:t xml:space="preserve">Nursing  </w:t>
            </w:r>
          </w:p>
        </w:tc>
        <w:tc>
          <w:tcPr>
            <w:tcW w:w="4381" w:type="dxa"/>
            <w:tcBorders>
              <w:top w:val="nil"/>
              <w:left w:val="nil"/>
              <w:bottom w:val="nil"/>
              <w:right w:val="nil"/>
            </w:tcBorders>
          </w:tcPr>
          <w:p w:rsidR="000D755A" w:rsidRDefault="007E2F4E">
            <w:pPr>
              <w:spacing w:after="0" w:line="259" w:lineRule="auto"/>
              <w:ind w:left="1" w:firstLine="0"/>
              <w:jc w:val="left"/>
            </w:pPr>
            <w:r>
              <w:t xml:space="preserve">Medical Lab Science  </w:t>
            </w:r>
          </w:p>
        </w:tc>
      </w:tr>
      <w:tr w:rsidR="000D755A">
        <w:trPr>
          <w:trHeight w:val="249"/>
        </w:trPr>
        <w:tc>
          <w:tcPr>
            <w:tcW w:w="3869" w:type="dxa"/>
            <w:tcBorders>
              <w:top w:val="nil"/>
              <w:left w:val="nil"/>
              <w:bottom w:val="nil"/>
              <w:right w:val="nil"/>
            </w:tcBorders>
          </w:tcPr>
          <w:p w:rsidR="000D755A" w:rsidRDefault="007E2F4E">
            <w:pPr>
              <w:spacing w:after="0" w:line="259" w:lineRule="auto"/>
              <w:ind w:left="0" w:firstLine="0"/>
              <w:jc w:val="left"/>
            </w:pPr>
            <w:r>
              <w:t xml:space="preserve">Kinesiology </w:t>
            </w:r>
          </w:p>
        </w:tc>
        <w:tc>
          <w:tcPr>
            <w:tcW w:w="4381" w:type="dxa"/>
            <w:tcBorders>
              <w:top w:val="nil"/>
              <w:left w:val="nil"/>
              <w:bottom w:val="nil"/>
              <w:right w:val="nil"/>
            </w:tcBorders>
          </w:tcPr>
          <w:p w:rsidR="000D755A" w:rsidRDefault="007E2F4E">
            <w:pPr>
              <w:spacing w:after="0" w:line="259" w:lineRule="auto"/>
              <w:ind w:left="1" w:firstLine="0"/>
              <w:jc w:val="left"/>
            </w:pPr>
            <w:r>
              <w:t xml:space="preserve">Pharmacy </w:t>
            </w:r>
          </w:p>
        </w:tc>
      </w:tr>
    </w:tbl>
    <w:p w:rsidR="000D755A" w:rsidRDefault="007E2F4E">
      <w:pPr>
        <w:spacing w:after="0" w:line="259" w:lineRule="auto"/>
        <w:ind w:left="456" w:firstLine="0"/>
        <w:jc w:val="left"/>
      </w:pPr>
      <w:r>
        <w:t xml:space="preserve"> </w:t>
      </w:r>
    </w:p>
    <w:p w:rsidR="000D755A" w:rsidRDefault="007E2F4E">
      <w:pPr>
        <w:spacing w:after="0" w:line="241" w:lineRule="auto"/>
        <w:ind w:left="456" w:firstLine="0"/>
        <w:jc w:val="left"/>
      </w:pPr>
      <w:r>
        <w:t xml:space="preserve">Employees hired to work in a scientific laboratory around chemicals in the scope of their work must complete detailed chemical hygiene / lab safety training within ninety (90) days of their hire date. This does include but is not limited to certain employees in the following departments: </w:t>
      </w:r>
    </w:p>
    <w:p w:rsidR="000D755A" w:rsidRDefault="007E2F4E">
      <w:pPr>
        <w:spacing w:after="0" w:line="259" w:lineRule="auto"/>
        <w:ind w:left="456" w:firstLine="0"/>
        <w:jc w:val="left"/>
      </w:pPr>
      <w:r>
        <w:t xml:space="preserve"> </w:t>
      </w:r>
    </w:p>
    <w:tbl>
      <w:tblPr>
        <w:tblStyle w:val="TableGrid"/>
        <w:tblW w:w="5431" w:type="dxa"/>
        <w:tblInd w:w="1284" w:type="dxa"/>
        <w:tblLook w:val="04A0" w:firstRow="1" w:lastRow="0" w:firstColumn="1" w:lastColumn="0" w:noHBand="0" w:noVBand="1"/>
      </w:tblPr>
      <w:tblGrid>
        <w:gridCol w:w="4319"/>
        <w:gridCol w:w="1112"/>
      </w:tblGrid>
      <w:tr w:rsidR="000D755A">
        <w:trPr>
          <w:trHeight w:val="249"/>
        </w:trPr>
        <w:tc>
          <w:tcPr>
            <w:tcW w:w="4319" w:type="dxa"/>
            <w:tcBorders>
              <w:top w:val="nil"/>
              <w:left w:val="nil"/>
              <w:bottom w:val="nil"/>
              <w:right w:val="nil"/>
            </w:tcBorders>
          </w:tcPr>
          <w:p w:rsidR="000D755A" w:rsidRDefault="007E2F4E">
            <w:pPr>
              <w:spacing w:after="0" w:line="259" w:lineRule="auto"/>
              <w:ind w:left="0" w:firstLine="0"/>
              <w:jc w:val="left"/>
            </w:pPr>
            <w:r>
              <w:t xml:space="preserve">Biology </w:t>
            </w:r>
          </w:p>
        </w:tc>
        <w:tc>
          <w:tcPr>
            <w:tcW w:w="1112" w:type="dxa"/>
            <w:tcBorders>
              <w:top w:val="nil"/>
              <w:left w:val="nil"/>
              <w:bottom w:val="nil"/>
              <w:right w:val="nil"/>
            </w:tcBorders>
          </w:tcPr>
          <w:p w:rsidR="000D755A" w:rsidRDefault="007E2F4E">
            <w:pPr>
              <w:spacing w:after="0" w:line="259" w:lineRule="auto"/>
              <w:ind w:left="1" w:firstLine="0"/>
            </w:pPr>
            <w:r>
              <w:t xml:space="preserve">Chemistry </w:t>
            </w:r>
          </w:p>
        </w:tc>
      </w:tr>
      <w:tr w:rsidR="000D755A">
        <w:trPr>
          <w:trHeight w:val="253"/>
        </w:trPr>
        <w:tc>
          <w:tcPr>
            <w:tcW w:w="4319" w:type="dxa"/>
            <w:tcBorders>
              <w:top w:val="nil"/>
              <w:left w:val="nil"/>
              <w:bottom w:val="nil"/>
              <w:right w:val="nil"/>
            </w:tcBorders>
          </w:tcPr>
          <w:p w:rsidR="000D755A" w:rsidRDefault="007E2F4E">
            <w:pPr>
              <w:spacing w:after="0" w:line="259" w:lineRule="auto"/>
              <w:ind w:left="0" w:firstLine="0"/>
              <w:jc w:val="left"/>
            </w:pPr>
            <w:r>
              <w:t xml:space="preserve">Medical Laboratory Science </w:t>
            </w:r>
          </w:p>
        </w:tc>
        <w:tc>
          <w:tcPr>
            <w:tcW w:w="1112" w:type="dxa"/>
            <w:tcBorders>
              <w:top w:val="nil"/>
              <w:left w:val="nil"/>
              <w:bottom w:val="nil"/>
              <w:right w:val="nil"/>
            </w:tcBorders>
          </w:tcPr>
          <w:p w:rsidR="000D755A" w:rsidRDefault="007E2F4E">
            <w:pPr>
              <w:spacing w:after="0" w:line="259" w:lineRule="auto"/>
              <w:ind w:left="0" w:firstLine="0"/>
            </w:pPr>
            <w:r>
              <w:t xml:space="preserve">Pharmacy </w:t>
            </w:r>
          </w:p>
        </w:tc>
      </w:tr>
      <w:tr w:rsidR="000D755A">
        <w:trPr>
          <w:trHeight w:val="249"/>
        </w:trPr>
        <w:tc>
          <w:tcPr>
            <w:tcW w:w="4319" w:type="dxa"/>
            <w:tcBorders>
              <w:top w:val="nil"/>
              <w:left w:val="nil"/>
              <w:bottom w:val="nil"/>
              <w:right w:val="nil"/>
            </w:tcBorders>
          </w:tcPr>
          <w:p w:rsidR="000D755A" w:rsidRDefault="007E2F4E">
            <w:pPr>
              <w:spacing w:after="0" w:line="259" w:lineRule="auto"/>
              <w:ind w:left="0" w:firstLine="0"/>
              <w:jc w:val="left"/>
            </w:pPr>
            <w:r>
              <w:t xml:space="preserve">Soil / Plant Laboratory </w:t>
            </w:r>
          </w:p>
        </w:tc>
        <w:tc>
          <w:tcPr>
            <w:tcW w:w="1112" w:type="dxa"/>
            <w:tcBorders>
              <w:top w:val="nil"/>
              <w:left w:val="nil"/>
              <w:bottom w:val="nil"/>
              <w:right w:val="nil"/>
            </w:tcBorders>
          </w:tcPr>
          <w:p w:rsidR="000D755A" w:rsidRDefault="007E2F4E">
            <w:pPr>
              <w:spacing w:after="0" w:line="259" w:lineRule="auto"/>
              <w:ind w:left="0" w:firstLine="0"/>
            </w:pPr>
            <w:r>
              <w:t xml:space="preserve">Toxicology </w:t>
            </w:r>
          </w:p>
        </w:tc>
      </w:tr>
    </w:tbl>
    <w:p w:rsidR="000D755A" w:rsidRDefault="007E2F4E">
      <w:pPr>
        <w:spacing w:after="0" w:line="259" w:lineRule="auto"/>
        <w:ind w:left="456" w:firstLine="0"/>
        <w:jc w:val="left"/>
      </w:pPr>
      <w:r>
        <w:t xml:space="preserve"> </w:t>
      </w:r>
    </w:p>
    <w:p w:rsidR="000D755A" w:rsidRDefault="007E2F4E">
      <w:pPr>
        <w:ind w:left="466"/>
      </w:pPr>
      <w:r>
        <w:t xml:space="preserve">For assistance with scheduling or enrolling in a new employee orientation class, contact the Department of Human Resources at 318-342-5140 or </w:t>
      </w:r>
      <w:r>
        <w:rPr>
          <w:color w:val="0000FF"/>
          <w:u w:val="single" w:color="0000FF"/>
        </w:rPr>
        <w:t>hr@ulm.edu</w:t>
      </w:r>
      <w:r>
        <w:t xml:space="preserve"> </w:t>
      </w:r>
    </w:p>
    <w:p w:rsidR="000D755A" w:rsidRDefault="007E2F4E">
      <w:pPr>
        <w:spacing w:after="0" w:line="259" w:lineRule="auto"/>
        <w:ind w:left="456" w:firstLine="0"/>
        <w:jc w:val="left"/>
      </w:pPr>
      <w:r>
        <w:t xml:space="preserve"> </w:t>
      </w:r>
    </w:p>
    <w:p w:rsidR="000D755A" w:rsidRDefault="007E2F4E" w:rsidP="00D54ED9">
      <w:pPr>
        <w:spacing w:after="0" w:line="259" w:lineRule="auto"/>
        <w:ind w:left="0" w:firstLine="0"/>
        <w:jc w:val="left"/>
      </w:pPr>
      <w:r>
        <w:rPr>
          <w:rFonts w:ascii="Times New Roman" w:eastAsia="Times New Roman" w:hAnsi="Times New Roman" w:cs="Times New Roman"/>
          <w:b/>
        </w:rPr>
        <w:t xml:space="preserve"> </w:t>
      </w:r>
    </w:p>
    <w:p w:rsidR="000D755A" w:rsidRPr="007E2F4E" w:rsidRDefault="007E2F4E" w:rsidP="00E86DB7">
      <w:pPr>
        <w:spacing w:after="560" w:line="259" w:lineRule="auto"/>
        <w:ind w:left="0" w:firstLine="0"/>
        <w:jc w:val="left"/>
        <w:rPr>
          <w:rFonts w:ascii="Times New Roman" w:eastAsia="Times New Roman" w:hAnsi="Times New Roman" w:cs="Times New Roman"/>
          <w:b/>
        </w:rPr>
      </w:pPr>
      <w:r>
        <w:rPr>
          <w:rFonts w:ascii="Times New Roman" w:eastAsia="Times New Roman" w:hAnsi="Times New Roman" w:cs="Times New Roman"/>
          <w:b/>
        </w:rPr>
        <w:t xml:space="preserve"> </w:t>
      </w:r>
      <w:r>
        <w:rPr>
          <w:rFonts w:ascii="Calibri" w:eastAsia="Calibri" w:hAnsi="Calibri" w:cs="Calibri"/>
          <w:color w:val="7E7E7E"/>
          <w:sz w:val="18"/>
        </w:rPr>
        <w:t>New Employee Orientation Policy                                                                                                                                          Page 2 of 2</w:t>
      </w:r>
      <w:r>
        <w:rPr>
          <w:rFonts w:ascii="Times New Roman" w:eastAsia="Times New Roman" w:hAnsi="Times New Roman" w:cs="Times New Roman"/>
          <w:sz w:val="24"/>
        </w:rPr>
        <w:t xml:space="preserve">  </w:t>
      </w:r>
    </w:p>
    <w:sectPr w:rsidR="000D755A" w:rsidRPr="007E2F4E">
      <w:pgSz w:w="12240" w:h="15840"/>
      <w:pgMar w:top="1446" w:right="1439" w:bottom="723" w:left="9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2D47FD"/>
    <w:multiLevelType w:val="hybridMultilevel"/>
    <w:tmpl w:val="ED22CD18"/>
    <w:lvl w:ilvl="0" w:tplc="A314D4C8">
      <w:start w:val="1"/>
      <w:numFmt w:val="bullet"/>
      <w:lvlText w:val=""/>
      <w:lvlJc w:val="left"/>
      <w:pPr>
        <w:ind w:left="1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F202E08">
      <w:start w:val="1"/>
      <w:numFmt w:val="bullet"/>
      <w:lvlText w:val="o"/>
      <w:lvlJc w:val="left"/>
      <w:pPr>
        <w:ind w:left="1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589A04">
      <w:start w:val="1"/>
      <w:numFmt w:val="bullet"/>
      <w:lvlText w:val="▪"/>
      <w:lvlJc w:val="left"/>
      <w:pPr>
        <w:ind w:left="24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01ECCA4">
      <w:start w:val="1"/>
      <w:numFmt w:val="bullet"/>
      <w:lvlText w:val="•"/>
      <w:lvlJc w:val="left"/>
      <w:pPr>
        <w:ind w:left="31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70AC76C">
      <w:start w:val="1"/>
      <w:numFmt w:val="bullet"/>
      <w:lvlText w:val="o"/>
      <w:lvlJc w:val="left"/>
      <w:pPr>
        <w:ind w:left="38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7D4BE0E">
      <w:start w:val="1"/>
      <w:numFmt w:val="bullet"/>
      <w:lvlText w:val="▪"/>
      <w:lvlJc w:val="left"/>
      <w:pPr>
        <w:ind w:left="46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31C969E">
      <w:start w:val="1"/>
      <w:numFmt w:val="bullet"/>
      <w:lvlText w:val="•"/>
      <w:lvlJc w:val="left"/>
      <w:pPr>
        <w:ind w:left="53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9404656">
      <w:start w:val="1"/>
      <w:numFmt w:val="bullet"/>
      <w:lvlText w:val="o"/>
      <w:lvlJc w:val="left"/>
      <w:pPr>
        <w:ind w:left="60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D5AC816">
      <w:start w:val="1"/>
      <w:numFmt w:val="bullet"/>
      <w:lvlText w:val="▪"/>
      <w:lvlJc w:val="left"/>
      <w:pPr>
        <w:ind w:left="67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5A"/>
    <w:rsid w:val="000D755A"/>
    <w:rsid w:val="00426A38"/>
    <w:rsid w:val="006D487B"/>
    <w:rsid w:val="007E2F4E"/>
    <w:rsid w:val="009436AE"/>
    <w:rsid w:val="00B267E9"/>
    <w:rsid w:val="00C30A1E"/>
    <w:rsid w:val="00CB16B0"/>
    <w:rsid w:val="00D54ED9"/>
    <w:rsid w:val="00D93573"/>
    <w:rsid w:val="00E86DB7"/>
    <w:rsid w:val="00F9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908F2-D4A8-487B-865B-522A9C81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927"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466"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image" Target="media/image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New Employee Orientation Policy 090313.doc</vt:lpstr>
    </vt:vector>
  </TitlesOfParts>
  <Company>Microsoft</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Employee Orientation Policy 090313.doc</dc:title>
  <dc:subject/>
  <dc:creator>branson</dc:creator>
  <cp:keywords/>
  <cp:lastModifiedBy>user</cp:lastModifiedBy>
  <cp:revision>2</cp:revision>
  <dcterms:created xsi:type="dcterms:W3CDTF">2019-02-04T19:05:00Z</dcterms:created>
  <dcterms:modified xsi:type="dcterms:W3CDTF">2019-02-04T19:05:00Z</dcterms:modified>
</cp:coreProperties>
</file>